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5061" w14:textId="77777777" w:rsidR="00803FCC" w:rsidRPr="001F54CD" w:rsidRDefault="00803FCC" w:rsidP="00803FCC">
      <w:pPr>
        <w:ind w:left="-142"/>
        <w:jc w:val="center"/>
        <w:rPr>
          <w:b/>
          <w:sz w:val="28"/>
        </w:rPr>
      </w:pPr>
      <w:r w:rsidRPr="001F54CD">
        <w:rPr>
          <w:b/>
          <w:sz w:val="28"/>
        </w:rPr>
        <w:t>Appendix A</w:t>
      </w:r>
    </w:p>
    <w:p w14:paraId="0EDD704F" w14:textId="30C0C9F4" w:rsidR="00803FCC" w:rsidRPr="001F54CD" w:rsidRDefault="00803FCC" w:rsidP="00803FCC">
      <w:pPr>
        <w:ind w:left="-142"/>
        <w:jc w:val="center"/>
        <w:rPr>
          <w:b/>
          <w:sz w:val="28"/>
        </w:rPr>
      </w:pPr>
      <w:r w:rsidRPr="001F54CD">
        <w:rPr>
          <w:b/>
          <w:sz w:val="28"/>
        </w:rPr>
        <w:t>Draft Cabinet response to recommendations of the Scrutiny Committee</w:t>
      </w:r>
    </w:p>
    <w:p w14:paraId="602A3CB9" w14:textId="77777777" w:rsidR="00803FCC" w:rsidRPr="008B6C61" w:rsidRDefault="00803FCC" w:rsidP="00803FCC">
      <w:pPr>
        <w:ind w:left="-142"/>
        <w:jc w:val="center"/>
        <w:rPr>
          <w:b/>
          <w:sz w:val="28"/>
        </w:rPr>
      </w:pPr>
    </w:p>
    <w:p w14:paraId="4F685D9F" w14:textId="5B87BDDE" w:rsidR="00803FCC" w:rsidRPr="008B6C61" w:rsidRDefault="00803FCC" w:rsidP="00803FCC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 xml:space="preserve">by </w:t>
      </w:r>
      <w:r w:rsidR="00A65278">
        <w:t xml:space="preserve">the Scrutiny Committee on </w:t>
      </w:r>
      <w:r w:rsidR="005D4605">
        <w:t>2</w:t>
      </w:r>
      <w:r w:rsidR="00773230">
        <w:t> </w:t>
      </w:r>
      <w:r w:rsidR="005D4605">
        <w:t>December</w:t>
      </w:r>
      <w:r w:rsidR="00A65278">
        <w:t xml:space="preserve"> 2024</w:t>
      </w:r>
      <w:r>
        <w:t xml:space="preserve"> concerning </w:t>
      </w:r>
      <w:r w:rsidR="00FD19F0">
        <w:t>the</w:t>
      </w:r>
      <w:r w:rsidR="009D5696">
        <w:t xml:space="preserve"> </w:t>
      </w:r>
      <w:r w:rsidR="005D4605" w:rsidRPr="005D4605">
        <w:t xml:space="preserve">Authority Monitoring Report and Infrastructure Funding Statement </w:t>
      </w:r>
      <w:r w:rsidR="005D4605">
        <w:t>20</w:t>
      </w:r>
      <w:r w:rsidR="005D4605" w:rsidRPr="005D4605">
        <w:t>23-24</w:t>
      </w:r>
      <w:r w:rsidRPr="008B6C61">
        <w:t xml:space="preserve">. </w:t>
      </w:r>
      <w:r>
        <w:t xml:space="preserve">The Cabinet is asked to amend and agree a formal response as appropriate. </w:t>
      </w:r>
    </w:p>
    <w:p w14:paraId="71DC837C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29E69FAD" w14:textId="77777777" w:rsidTr="573DEDC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2D60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28322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D7F39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F7944" w:rsidRPr="00043375" w14:paraId="472D8117" w14:textId="77777777" w:rsidTr="573DEDC8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DF7" w14:textId="3F997C9B" w:rsidR="000F7944" w:rsidRPr="00D701AB" w:rsidRDefault="005B2B8B" w:rsidP="000F7944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That Cabinet ensures</w:t>
            </w:r>
            <w:r w:rsidR="00B244E1">
              <w:rPr>
                <w:rFonts w:ascii="Arial" w:hAnsi="Arial" w:cs="Arial"/>
                <w:color w:val="auto"/>
                <w:lang w:eastAsia="en-US"/>
              </w:rPr>
              <w:t xml:space="preserve"> that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comprehensive data on unmet student accommodation demand from universities, alongside details of sites identified or proposed by these institutions to address their accommodation requirements</w:t>
            </w:r>
            <w:r w:rsidR="00B244E1">
              <w:rPr>
                <w:rFonts w:ascii="Arial" w:hAnsi="Arial" w:cs="Arial"/>
                <w:color w:val="auto"/>
                <w:lang w:eastAsia="en-US"/>
              </w:rPr>
              <w:t xml:space="preserve">, are </w:t>
            </w:r>
            <w:r w:rsidR="00BA206B">
              <w:rPr>
                <w:rFonts w:ascii="Arial" w:hAnsi="Arial" w:cs="Arial"/>
                <w:color w:val="auto"/>
                <w:lang w:eastAsia="en-US"/>
              </w:rPr>
              <w:t xml:space="preserve">included in future reporting </w:t>
            </w:r>
            <w:r w:rsidR="00D629DE">
              <w:rPr>
                <w:rFonts w:ascii="Arial" w:hAnsi="Arial" w:cs="Arial"/>
                <w:color w:val="auto"/>
                <w:lang w:eastAsia="en-US"/>
              </w:rPr>
              <w:t xml:space="preserve">of </w:t>
            </w:r>
            <w:r w:rsidR="00BA206B">
              <w:rPr>
                <w:rFonts w:ascii="Arial" w:hAnsi="Arial" w:cs="Arial"/>
                <w:color w:val="auto"/>
                <w:lang w:eastAsia="en-US"/>
              </w:rPr>
              <w:t xml:space="preserve">the Authority Monitoring </w:t>
            </w:r>
            <w:r w:rsidR="00D629DE">
              <w:rPr>
                <w:rFonts w:ascii="Arial" w:hAnsi="Arial" w:cs="Arial"/>
                <w:color w:val="auto"/>
                <w:lang w:eastAsia="en-US"/>
              </w:rPr>
              <w:t>report.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75" w14:textId="7992AAF1" w:rsidR="000F7944" w:rsidRPr="00043375" w:rsidRDefault="78DE2C72" w:rsidP="000F7944">
            <w: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A23E" w14:textId="06036A8B" w:rsidR="000F7944" w:rsidRPr="00043375" w:rsidRDefault="78DE2C72" w:rsidP="00CF4688">
            <w:pPr>
              <w:spacing w:after="120"/>
            </w:pPr>
            <w:r>
              <w:t xml:space="preserve">We already publish the numbers of </w:t>
            </w:r>
            <w:r w:rsidR="1B34A0D2">
              <w:t xml:space="preserve">students at both universities that are living </w:t>
            </w:r>
            <w:r w:rsidR="74C3F7B7">
              <w:t>outside of university-provided accommodation</w:t>
            </w:r>
            <w:r w:rsidR="78C1C1F9">
              <w:t>.</w:t>
            </w:r>
          </w:p>
          <w:p w14:paraId="43A305CE" w14:textId="756BDDBB" w:rsidR="000F7944" w:rsidRPr="00043375" w:rsidRDefault="7410D8AA" w:rsidP="00CF4688">
            <w:pPr>
              <w:spacing w:after="120"/>
            </w:pPr>
            <w:r>
              <w:t>This is to ensure that Policy H9 of our current Local Plan, which seeks to</w:t>
            </w:r>
            <w:r w:rsidR="145854B2">
              <w:t xml:space="preserve"> restrict the number of students that each university is permitted to have living outside of university provided accom</w:t>
            </w:r>
            <w:r w:rsidR="3FB56A96">
              <w:t>m</w:t>
            </w:r>
            <w:r w:rsidR="145854B2">
              <w:t>odation</w:t>
            </w:r>
            <w:r w:rsidR="41969F5E">
              <w:t xml:space="preserve"> </w:t>
            </w:r>
            <w:r w:rsidR="66F5934C">
              <w:t>is adhered to.</w:t>
            </w:r>
          </w:p>
          <w:p w14:paraId="1E3A8C85" w14:textId="02C0C375" w:rsidR="000F7944" w:rsidRPr="00043375" w:rsidRDefault="6DEC4EC6" w:rsidP="00CF4688">
            <w:pPr>
              <w:spacing w:after="120"/>
            </w:pPr>
            <w:r>
              <w:t>Although we ask the universities</w:t>
            </w:r>
            <w:r w:rsidR="1F7FA3D8">
              <w:t>,</w:t>
            </w:r>
            <w:r>
              <w:t xml:space="preserve"> as part of the evidence base work for the Local Plan</w:t>
            </w:r>
            <w:r w:rsidR="09CECEFA">
              <w:t>,</w:t>
            </w:r>
            <w:r>
              <w:t xml:space="preserve"> about their intentions for land use o</w:t>
            </w:r>
            <w:r w:rsidR="0AEF0287">
              <w:t>n their sites</w:t>
            </w:r>
            <w:r w:rsidR="6DDB56E3">
              <w:t>, w</w:t>
            </w:r>
            <w:r w:rsidR="26CBA4A5">
              <w:t>e do not actively monitor their accommodation requirements through the AMR.</w:t>
            </w:r>
          </w:p>
        </w:tc>
      </w:tr>
      <w:tr w:rsidR="000F7944" w:rsidRPr="00043375" w14:paraId="5499B2AA" w14:textId="77777777" w:rsidTr="573DEDC8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0BA" w14:textId="7ED52443" w:rsidR="000F7944" w:rsidRPr="00D701AB" w:rsidRDefault="00494F89" w:rsidP="000F7944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Council works with </w:t>
            </w:r>
            <w:r w:rsidR="00F06DC5">
              <w:rPr>
                <w:rFonts w:ascii="Arial" w:hAnsi="Arial" w:cs="Arial"/>
              </w:rPr>
              <w:t xml:space="preserve">University of Oxford </w:t>
            </w:r>
            <w:r w:rsidR="001A06C1">
              <w:rPr>
                <w:rFonts w:ascii="Arial" w:hAnsi="Arial" w:cs="Arial"/>
              </w:rPr>
              <w:t xml:space="preserve">and Oxford Brookes University </w:t>
            </w:r>
            <w:r>
              <w:rPr>
                <w:rFonts w:ascii="Arial" w:hAnsi="Arial" w:cs="Arial"/>
              </w:rPr>
              <w:t xml:space="preserve">to ensure </w:t>
            </w:r>
            <w:r w:rsidR="00F06DC5">
              <w:rPr>
                <w:rFonts w:ascii="Arial" w:hAnsi="Arial" w:cs="Arial"/>
              </w:rPr>
              <w:t>that their land holdings, including those located at or near city boundaries, are used effectively to meet unmet accommodation demands</w:t>
            </w:r>
            <w:r w:rsidR="000E4285">
              <w:rPr>
                <w:rFonts w:ascii="Arial" w:hAnsi="Arial" w:cs="Arial"/>
              </w:rPr>
              <w:t>;</w:t>
            </w:r>
            <w:r w:rsidR="00724BC5">
              <w:rPr>
                <w:rFonts w:ascii="Arial" w:hAnsi="Arial" w:cs="Arial"/>
              </w:rPr>
              <w:t xml:space="preserve"> and </w:t>
            </w:r>
            <w:r w:rsidR="002E4AF3">
              <w:rPr>
                <w:rFonts w:ascii="Arial" w:hAnsi="Arial" w:cs="Arial"/>
              </w:rPr>
              <w:t xml:space="preserve">that </w:t>
            </w:r>
            <w:r w:rsidR="00613C06">
              <w:rPr>
                <w:rFonts w:ascii="Arial" w:hAnsi="Arial" w:cs="Arial"/>
              </w:rPr>
              <w:t xml:space="preserve">Council encourages </w:t>
            </w:r>
            <w:r w:rsidR="002E4AF3">
              <w:rPr>
                <w:rFonts w:ascii="Arial" w:hAnsi="Arial" w:cs="Arial"/>
              </w:rPr>
              <w:t xml:space="preserve">universities </w:t>
            </w:r>
            <w:r w:rsidR="00613C06">
              <w:rPr>
                <w:rFonts w:ascii="Arial" w:hAnsi="Arial" w:cs="Arial"/>
              </w:rPr>
              <w:t xml:space="preserve">to </w:t>
            </w:r>
            <w:r w:rsidR="00724BC5">
              <w:rPr>
                <w:rFonts w:ascii="Arial" w:hAnsi="Arial" w:cs="Arial"/>
              </w:rPr>
              <w:t xml:space="preserve">share </w:t>
            </w:r>
            <w:r w:rsidR="00BF1955">
              <w:rPr>
                <w:rFonts w:ascii="Arial" w:hAnsi="Arial" w:cs="Arial"/>
              </w:rPr>
              <w:t>their</w:t>
            </w:r>
            <w:r w:rsidR="007016BF">
              <w:rPr>
                <w:rFonts w:ascii="Arial" w:hAnsi="Arial" w:cs="Arial"/>
              </w:rPr>
              <w:t xml:space="preserve"> </w:t>
            </w:r>
            <w:r w:rsidR="00724BC5">
              <w:rPr>
                <w:rFonts w:ascii="Arial" w:hAnsi="Arial" w:cs="Arial"/>
              </w:rPr>
              <w:t xml:space="preserve">plans </w:t>
            </w:r>
            <w:r w:rsidR="00BF1955">
              <w:rPr>
                <w:rFonts w:ascii="Arial" w:hAnsi="Arial" w:cs="Arial"/>
              </w:rPr>
              <w:t>for leveraging these land assets for this purpose.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374" w14:textId="35207E65" w:rsidR="000F7944" w:rsidRPr="00043375" w:rsidRDefault="312F0274" w:rsidP="000F7944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CBF" w14:textId="5BC52A9B" w:rsidR="000F7944" w:rsidRPr="00043375" w:rsidRDefault="312F0274" w:rsidP="00CF4688">
            <w:pPr>
              <w:spacing w:after="120"/>
            </w:pPr>
            <w:r>
              <w:t>We continuously engage with both universities to</w:t>
            </w:r>
            <w:r w:rsidR="09B54A00">
              <w:t xml:space="preserve"> encourage them to share their plans and to house as many students as possible on their own land holdings.</w:t>
            </w:r>
          </w:p>
          <w:p w14:paraId="07C6117E" w14:textId="1AFAEB43" w:rsidR="000F7944" w:rsidRPr="00043375" w:rsidRDefault="312F0274" w:rsidP="00CF4688">
            <w:pPr>
              <w:spacing w:after="120" w:line="259" w:lineRule="auto"/>
            </w:pPr>
            <w:r>
              <w:t>The only lever we have is Policy H9</w:t>
            </w:r>
            <w:r w:rsidR="22C3A9B3">
              <w:t xml:space="preserve"> which specifies that if </w:t>
            </w:r>
            <w:r w:rsidR="56306140">
              <w:t xml:space="preserve">a </w:t>
            </w:r>
            <w:r w:rsidR="7A08782C">
              <w:t>university</w:t>
            </w:r>
            <w:r w:rsidR="56306140">
              <w:t xml:space="preserve"> </w:t>
            </w:r>
            <w:r w:rsidR="5CA6402D">
              <w:t xml:space="preserve">exceeds </w:t>
            </w:r>
            <w:r w:rsidR="5532BB0B">
              <w:t>t</w:t>
            </w:r>
            <w:r w:rsidR="22C3A9B3">
              <w:t xml:space="preserve">he threshold numbers for </w:t>
            </w:r>
            <w:r w:rsidR="1D8257C9">
              <w:t>students living outside of university-provided accommodation, we wil</w:t>
            </w:r>
            <w:r w:rsidR="7BB00C1C">
              <w:t>l</w:t>
            </w:r>
            <w:r w:rsidR="1D8257C9">
              <w:t xml:space="preserve"> withhold planning permission for any new</w:t>
            </w:r>
            <w:r w:rsidR="465D51E2">
              <w:t>/redeveloped or refurbished</w:t>
            </w:r>
            <w:r w:rsidR="1D8257C9">
              <w:t xml:space="preserve"> academic</w:t>
            </w:r>
            <w:r w:rsidR="38E09BEF">
              <w:t>, research or administrative accom</w:t>
            </w:r>
            <w:r w:rsidR="0F7E0A94">
              <w:t>m</w:t>
            </w:r>
            <w:r w:rsidR="38E09BEF">
              <w:t>odation</w:t>
            </w:r>
          </w:p>
        </w:tc>
      </w:tr>
    </w:tbl>
    <w:p w14:paraId="4A78D949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 w16cid:durableId="1473909381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32085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82356">
    <w:abstractNumId w:val="0"/>
  </w:num>
  <w:num w:numId="4" w16cid:durableId="196091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203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01198">
    <w:abstractNumId w:val="1"/>
  </w:num>
  <w:num w:numId="7" w16cid:durableId="622150913">
    <w:abstractNumId w:val="3"/>
  </w:num>
  <w:num w:numId="8" w16cid:durableId="709648898">
    <w:abstractNumId w:val="5"/>
  </w:num>
  <w:num w:numId="9" w16cid:durableId="160465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43375"/>
    <w:rsid w:val="000B4310"/>
    <w:rsid w:val="000C22DF"/>
    <w:rsid w:val="000E4285"/>
    <w:rsid w:val="000F7944"/>
    <w:rsid w:val="00172695"/>
    <w:rsid w:val="001A06C1"/>
    <w:rsid w:val="001E4BEE"/>
    <w:rsid w:val="001F54CD"/>
    <w:rsid w:val="00210DEA"/>
    <w:rsid w:val="00254CFA"/>
    <w:rsid w:val="002B0872"/>
    <w:rsid w:val="002E4AF3"/>
    <w:rsid w:val="004000D7"/>
    <w:rsid w:val="00494F89"/>
    <w:rsid w:val="00497B4E"/>
    <w:rsid w:val="004D1928"/>
    <w:rsid w:val="00504E43"/>
    <w:rsid w:val="00527883"/>
    <w:rsid w:val="00547FD5"/>
    <w:rsid w:val="005B2B8B"/>
    <w:rsid w:val="005B7D4C"/>
    <w:rsid w:val="005D2131"/>
    <w:rsid w:val="005D37CB"/>
    <w:rsid w:val="005D4605"/>
    <w:rsid w:val="005F17FD"/>
    <w:rsid w:val="00613C06"/>
    <w:rsid w:val="00634DE4"/>
    <w:rsid w:val="00673169"/>
    <w:rsid w:val="007016BF"/>
    <w:rsid w:val="00724BC5"/>
    <w:rsid w:val="00773230"/>
    <w:rsid w:val="007908F4"/>
    <w:rsid w:val="00803FCC"/>
    <w:rsid w:val="00835A37"/>
    <w:rsid w:val="008A22C6"/>
    <w:rsid w:val="008F40DD"/>
    <w:rsid w:val="008F7652"/>
    <w:rsid w:val="009D5696"/>
    <w:rsid w:val="00A00330"/>
    <w:rsid w:val="00A10C33"/>
    <w:rsid w:val="00A65278"/>
    <w:rsid w:val="00AD6AF2"/>
    <w:rsid w:val="00AF05DF"/>
    <w:rsid w:val="00B244E1"/>
    <w:rsid w:val="00B812BF"/>
    <w:rsid w:val="00BA206B"/>
    <w:rsid w:val="00BC49CC"/>
    <w:rsid w:val="00BF1955"/>
    <w:rsid w:val="00C07F80"/>
    <w:rsid w:val="00C411C9"/>
    <w:rsid w:val="00C67554"/>
    <w:rsid w:val="00CC7E5E"/>
    <w:rsid w:val="00CF4688"/>
    <w:rsid w:val="00D629DE"/>
    <w:rsid w:val="00D701AB"/>
    <w:rsid w:val="00E81954"/>
    <w:rsid w:val="00E846CF"/>
    <w:rsid w:val="00ED3286"/>
    <w:rsid w:val="00F06891"/>
    <w:rsid w:val="00F06DC5"/>
    <w:rsid w:val="00FD19F0"/>
    <w:rsid w:val="00FD3A85"/>
    <w:rsid w:val="06C41D57"/>
    <w:rsid w:val="093E1516"/>
    <w:rsid w:val="09B54A00"/>
    <w:rsid w:val="09CECEFA"/>
    <w:rsid w:val="0AEF0287"/>
    <w:rsid w:val="0F7E0A94"/>
    <w:rsid w:val="145854B2"/>
    <w:rsid w:val="157D5668"/>
    <w:rsid w:val="15DA54B6"/>
    <w:rsid w:val="1B34A0D2"/>
    <w:rsid w:val="1CC9B99F"/>
    <w:rsid w:val="1D1F6423"/>
    <w:rsid w:val="1D8257C9"/>
    <w:rsid w:val="1F1B2F32"/>
    <w:rsid w:val="1F7FA3D8"/>
    <w:rsid w:val="22C3A9B3"/>
    <w:rsid w:val="2315D492"/>
    <w:rsid w:val="2366844B"/>
    <w:rsid w:val="26CBA4A5"/>
    <w:rsid w:val="2B37C6A6"/>
    <w:rsid w:val="2B5EEF9F"/>
    <w:rsid w:val="2BD149E5"/>
    <w:rsid w:val="2C26EFAF"/>
    <w:rsid w:val="2DBFEC78"/>
    <w:rsid w:val="312F0274"/>
    <w:rsid w:val="322F77C9"/>
    <w:rsid w:val="357CBCE5"/>
    <w:rsid w:val="3758EDA2"/>
    <w:rsid w:val="37DD3244"/>
    <w:rsid w:val="38E09BEF"/>
    <w:rsid w:val="3FB56A96"/>
    <w:rsid w:val="41969F5E"/>
    <w:rsid w:val="44C6E90B"/>
    <w:rsid w:val="465D51E2"/>
    <w:rsid w:val="4937CAA8"/>
    <w:rsid w:val="4F15D0C0"/>
    <w:rsid w:val="5368BE07"/>
    <w:rsid w:val="53F82040"/>
    <w:rsid w:val="54595DC6"/>
    <w:rsid w:val="5532BB0B"/>
    <w:rsid w:val="55DA91B6"/>
    <w:rsid w:val="56306140"/>
    <w:rsid w:val="573DEDC8"/>
    <w:rsid w:val="577B46C6"/>
    <w:rsid w:val="5CA6402D"/>
    <w:rsid w:val="5E7BE1FB"/>
    <w:rsid w:val="5F7F7CE5"/>
    <w:rsid w:val="66F5934C"/>
    <w:rsid w:val="67C8D48B"/>
    <w:rsid w:val="6BA9C9AC"/>
    <w:rsid w:val="6DDB56E3"/>
    <w:rsid w:val="6DEC4EC6"/>
    <w:rsid w:val="71F3AA75"/>
    <w:rsid w:val="72534B84"/>
    <w:rsid w:val="7410D8AA"/>
    <w:rsid w:val="74C3F7B7"/>
    <w:rsid w:val="753522FA"/>
    <w:rsid w:val="76D7E0BF"/>
    <w:rsid w:val="7803262C"/>
    <w:rsid w:val="78C1C1F9"/>
    <w:rsid w:val="78DE2C72"/>
    <w:rsid w:val="799B356A"/>
    <w:rsid w:val="7A08782C"/>
    <w:rsid w:val="7A720E17"/>
    <w:rsid w:val="7BB0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11F92459-C839-48DF-87DD-D84AA817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D3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7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458-39B7-4A66-8C49-A095B41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4</DocSecurity>
  <Lines>14</Lines>
  <Paragraphs>4</Paragraphs>
  <ScaleCrop>false</ScaleCrop>
  <Company>Oxford City Council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NIXON Rachel</cp:lastModifiedBy>
  <cp:revision>54</cp:revision>
  <dcterms:created xsi:type="dcterms:W3CDTF">2022-03-28T13:19:00Z</dcterms:created>
  <dcterms:modified xsi:type="dcterms:W3CDTF">2024-12-10T18:15:00Z</dcterms:modified>
</cp:coreProperties>
</file>